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BBC" w:rsidRDefault="003118A7">
      <w:pPr>
        <w:pStyle w:val="Standard"/>
        <w:jc w:val="right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Załącznik nr </w:t>
      </w:r>
      <w:r w:rsidR="00E31835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.4 </w:t>
      </w:r>
      <w:r>
        <w:rPr>
          <w:b/>
          <w:sz w:val="22"/>
          <w:szCs w:val="22"/>
        </w:rPr>
        <w:t xml:space="preserve">do </w:t>
      </w:r>
      <w:r w:rsidR="00E31835">
        <w:rPr>
          <w:b/>
          <w:sz w:val="22"/>
          <w:szCs w:val="22"/>
        </w:rPr>
        <w:t>SWZ</w:t>
      </w:r>
      <w:r>
        <w:rPr>
          <w:b/>
          <w:sz w:val="22"/>
          <w:szCs w:val="22"/>
        </w:rPr>
        <w:t>/</w:t>
      </w:r>
    </w:p>
    <w:p w:rsidR="00676BBC" w:rsidRDefault="003118A7">
      <w:pPr>
        <w:pStyle w:val="Standard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1 do umowy</w:t>
      </w:r>
    </w:p>
    <w:p w:rsidR="00676BBC" w:rsidRDefault="00676BBC">
      <w:pPr>
        <w:pStyle w:val="Standard"/>
        <w:jc w:val="center"/>
        <w:rPr>
          <w:b/>
          <w:bCs/>
        </w:rPr>
      </w:pPr>
    </w:p>
    <w:p w:rsidR="00676BBC" w:rsidRDefault="00676BBC">
      <w:pPr>
        <w:pStyle w:val="Standard"/>
        <w:jc w:val="center"/>
        <w:rPr>
          <w:b/>
          <w:bCs/>
        </w:rPr>
      </w:pPr>
    </w:p>
    <w:p w:rsidR="00676BBC" w:rsidRDefault="003118A7">
      <w:pPr>
        <w:pStyle w:val="Standard"/>
        <w:jc w:val="center"/>
        <w:rPr>
          <w:b/>
          <w:bCs/>
        </w:rPr>
      </w:pPr>
      <w:r>
        <w:rPr>
          <w:b/>
          <w:bCs/>
        </w:rPr>
        <w:t>OPIS PRZEDMIOTU ZAMÓWIENIA – Część nr 4</w:t>
      </w:r>
    </w:p>
    <w:p w:rsidR="00676BBC" w:rsidRDefault="00676BBC">
      <w:pPr>
        <w:pStyle w:val="Standard"/>
        <w:rPr>
          <w:b/>
          <w:u w:val="single"/>
        </w:rPr>
      </w:pPr>
    </w:p>
    <w:p w:rsidR="00676BBC" w:rsidRDefault="003118A7">
      <w:pPr>
        <w:pStyle w:val="Standard"/>
        <w:jc w:val="both"/>
      </w:pPr>
      <w:r>
        <w:rPr>
          <w:rFonts w:eastAsia="Andale Sans UI"/>
        </w:rPr>
        <w:t>Przedmiot zamówienia obejmuje</w:t>
      </w:r>
      <w:r>
        <w:rPr>
          <w:color w:val="000000"/>
          <w:spacing w:val="-2"/>
        </w:rPr>
        <w:t xml:space="preserve"> </w:t>
      </w:r>
      <w:r w:rsidR="00723345">
        <w:rPr>
          <w:color w:val="000000"/>
          <w:spacing w:val="-2"/>
        </w:rPr>
        <w:t>d</w:t>
      </w:r>
      <w:r>
        <w:rPr>
          <w:rFonts w:eastAsia="Andale Sans UI"/>
          <w:bCs/>
        </w:rPr>
        <w:t xml:space="preserve">ostawę do wskazanego przez Zamawiającego miejsca, fabrycznie nowych </w:t>
      </w:r>
      <w:r>
        <w:rPr>
          <w:rFonts w:eastAsia="Andale Sans UI"/>
          <w:b/>
          <w:bCs/>
        </w:rPr>
        <w:t>komputerów biurkowy</w:t>
      </w:r>
      <w:r w:rsidR="00723345">
        <w:rPr>
          <w:rFonts w:eastAsia="Andale Sans UI"/>
          <w:b/>
          <w:bCs/>
        </w:rPr>
        <w:t>ch</w:t>
      </w:r>
      <w:bookmarkStart w:id="0" w:name="_GoBack"/>
      <w:bookmarkEnd w:id="0"/>
      <w:r>
        <w:rPr>
          <w:rFonts w:eastAsia="Andale Sans UI"/>
          <w:b/>
          <w:bCs/>
        </w:rPr>
        <w:t xml:space="preserve"> PC </w:t>
      </w:r>
      <w:r>
        <w:rPr>
          <w:rFonts w:eastAsia="Andale Sans UI"/>
          <w:bCs/>
        </w:rPr>
        <w:t>zgodnie z przedstawionym zestawieniem i specyfikacją.</w:t>
      </w:r>
    </w:p>
    <w:p w:rsidR="00676BBC" w:rsidRDefault="003118A7">
      <w:pPr>
        <w:pStyle w:val="Standard"/>
        <w:jc w:val="both"/>
      </w:pPr>
      <w:r>
        <w:rPr>
          <w:rFonts w:eastAsia="Andale Sans UI"/>
          <w:bCs/>
          <w:color w:val="000000"/>
        </w:rPr>
        <w:t xml:space="preserve">Wszystkie podane parametry opisujące przedmiot zamówienia są parametrami jakościowymi określającymi właściwości (cechy) nie gorsze niż wymagane i odnoszą się do co najmniej głównych elementów składających się na przedmiot zamówienia. </w:t>
      </w:r>
      <w:r>
        <w:rPr>
          <w:rFonts w:eastAsia="Andale Sans UI"/>
          <w:bCs/>
        </w:rPr>
        <w:t>Oznacza to, że parametry mogą być odpowiednio wyższe, jeżeli dzięki temu polepszają właściwości przedmiotu zamówienia.</w:t>
      </w:r>
    </w:p>
    <w:p w:rsidR="00676BBC" w:rsidRDefault="00676BBC">
      <w:pPr>
        <w:pStyle w:val="Standard"/>
      </w:pPr>
    </w:p>
    <w:tbl>
      <w:tblPr>
        <w:tblW w:w="860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6281"/>
        <w:gridCol w:w="1532"/>
      </w:tblGrid>
      <w:tr w:rsidR="00676BBC">
        <w:trPr>
          <w:trHeight w:val="584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76BBC" w:rsidRDefault="003118A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76BBC" w:rsidRDefault="003118A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76BBC" w:rsidRDefault="003118A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</w:tr>
      <w:tr w:rsidR="00676BBC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BBC" w:rsidRDefault="003118A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BBC" w:rsidRDefault="003118A7">
            <w:pPr>
              <w:pStyle w:val="Standard"/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Komputer biurkowy PC typ 1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BBC" w:rsidRDefault="003118A7">
            <w:pPr>
              <w:pStyle w:val="Standard"/>
              <w:suppressAutoHyphens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676BBC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BBC" w:rsidRDefault="003118A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BBC" w:rsidRDefault="003118A7">
            <w:pPr>
              <w:pStyle w:val="Standard"/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Komputer biurkowy PC typ 2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BBC" w:rsidRDefault="003118A7">
            <w:pPr>
              <w:pStyle w:val="Standard"/>
              <w:suppressAutoHyphens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676BBC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BBC" w:rsidRDefault="003118A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2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BBC" w:rsidRDefault="003118A7">
            <w:pPr>
              <w:pStyle w:val="Standard"/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Komputer biurkowy PC typ 3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BBC" w:rsidRDefault="003118A7">
            <w:pPr>
              <w:pStyle w:val="Standard"/>
              <w:suppressAutoHyphens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</w:tbl>
    <w:p w:rsidR="00676BBC" w:rsidRDefault="00676BBC">
      <w:pPr>
        <w:pStyle w:val="Standard"/>
        <w:jc w:val="both"/>
        <w:rPr>
          <w:bCs/>
          <w:sz w:val="22"/>
          <w:szCs w:val="22"/>
        </w:rPr>
      </w:pPr>
    </w:p>
    <w:p w:rsidR="00676BBC" w:rsidRDefault="00676BBC">
      <w:pPr>
        <w:pStyle w:val="Standard"/>
        <w:ind w:firstLine="709"/>
        <w:jc w:val="both"/>
      </w:pPr>
    </w:p>
    <w:p w:rsidR="00676BBC" w:rsidRDefault="003118A7">
      <w:pPr>
        <w:pStyle w:val="Standard"/>
        <w:numPr>
          <w:ilvl w:val="0"/>
          <w:numId w:val="2"/>
        </w:numPr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  <w:b/>
          <w:bCs/>
        </w:rPr>
      </w:pPr>
      <w:r>
        <w:rPr>
          <w:rFonts w:eastAsia="Andale Sans UI"/>
          <w:b/>
          <w:bCs/>
        </w:rPr>
        <w:t>Komputer biurkowy typ 1 – parametry minimalne :</w:t>
      </w:r>
    </w:p>
    <w:p w:rsidR="00676BBC" w:rsidRDefault="00676BBC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ind w:left="720"/>
        <w:rPr>
          <w:rFonts w:eastAsia="Andale Sans UI"/>
          <w:b/>
          <w:bCs/>
        </w:rPr>
      </w:pPr>
    </w:p>
    <w:tbl>
      <w:tblPr>
        <w:tblW w:w="9904" w:type="dxa"/>
        <w:tblInd w:w="-133" w:type="dxa"/>
        <w:tblLayout w:type="fixed"/>
        <w:tblLook w:val="04A0" w:firstRow="1" w:lastRow="0" w:firstColumn="1" w:lastColumn="0" w:noHBand="0" w:noVBand="1"/>
      </w:tblPr>
      <w:tblGrid>
        <w:gridCol w:w="2486"/>
        <w:gridCol w:w="7418"/>
      </w:tblGrid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Wymagania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Procesor: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Zaoferowany procesor musi uzyskiwać w teście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PassMark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CPU Mark wynik </w:t>
            </w:r>
            <w:r>
              <w:rPr>
                <w:rFonts w:eastAsia="Andale Sans UI" w:cs="Tahoma"/>
                <w:b/>
                <w:bCs/>
                <w:sz w:val="22"/>
                <w:szCs w:val="22"/>
              </w:rPr>
              <w:t>53000</w:t>
            </w:r>
            <w:r>
              <w:rPr>
                <w:rFonts w:eastAsia="Andale Sans UI" w:cs="Tahoma"/>
                <w:bCs/>
                <w:sz w:val="22"/>
                <w:szCs w:val="22"/>
              </w:rPr>
              <w:t xml:space="preserve"> punktów, wynik zaproponowanego procesora musi znajdować się na stronie http://www.cpubenchmark.net. Do procesora będzie dołączony system chłodzenia zapewniający poprawną i stabilną pracę.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Oferowany procesor musi znajdować się w bieżącej produkcji a data rozpoczęcia produkcji nie może być wcześniejsza niż czwarty kwartał 2022 roku.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Płyta główna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2 gniazda pamięci RAM, złącza 1x PCI-E, 2x SATA III, 2x USB 2.0, 2x USB 3.0 lub USB 3.1, 1x Gigabit Ethernet, złącze cyfrowe HDMI lub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Diplay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Port, audio.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Pamięć operacyjna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32 GB RAM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Dysk twardy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Typ: SSD, wewnętrzny, pojemność min. 960 GB</w:t>
            </w:r>
          </w:p>
          <w:p w:rsidR="00676BBC" w:rsidRDefault="003118A7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>Rodzaj pamięci: SLC lub MLC lub TLC. Niedopuszczalne są dyski oparte o pamięci QLC.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Karta graficzna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Zintegrowana z procesorem, z możliwością dynamicznego przydzielenia pamięci systemowej, ze sprzętowym wsparciem dla min. DirectX 12, Open GL 4.5, dopuszczalna dodatkowa dedykowana karta graficzna.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Minimum dwa cyfrowe złącza HDMI lub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DisplayPort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lub jedno HDMI i jedno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DisplayPort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umożliwiające obsługę minimum 2 monitorów. Złącza mogą być zarówno na dedykowanej karcie graficznej jak i na płycie głównej.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Karta dźwiękowa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Zintegrowana z płytą główną, zgodna z High Definition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Napęd optyczny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Nagrywarka DVD+/-RW, wewnętrzna, zainstalowane oprogramowanie do nagrywania płyt CD i DVD w polskiej wersji językowej bez ograniczeń czasowych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Zasilacz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8A7" w:rsidRDefault="003118A7" w:rsidP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230V, 50HZ, umożliwiający stabilną pracę przy maksymalnym obciążeniu, moc adekwatna do zestawu, aktywny filtr PFC, posiadający certyfikat sprawności 80 Plus Gold – oferowany zasilacz musi się znajdować na stronie: </w:t>
            </w:r>
            <w:hyperlink r:id="rId5" w:history="1">
              <w:r w:rsidRPr="00A92BB0">
                <w:rPr>
                  <w:rStyle w:val="Hipercze"/>
                  <w:rFonts w:eastAsia="Andale Sans UI" w:cs="Tahoma"/>
                  <w:bCs/>
                  <w:sz w:val="22"/>
                  <w:szCs w:val="22"/>
                </w:rPr>
                <w:t>http://www.plugloadsolutions.com/80PlusPowerSupplies.aspx</w:t>
              </w:r>
            </w:hyperlink>
            <w:r>
              <w:rPr>
                <w:rFonts w:eastAsia="Andale Sans UI" w:cs="Tahoma"/>
                <w:bCs/>
                <w:sz w:val="22"/>
                <w:szCs w:val="22"/>
              </w:rPr>
              <w:t xml:space="preserve">. </w:t>
            </w:r>
          </w:p>
          <w:p w:rsidR="00676BBC" w:rsidRDefault="003118A7" w:rsidP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 w:rsidRPr="003118A7">
              <w:rPr>
                <w:rFonts w:eastAsia="Times New Roman"/>
              </w:rPr>
              <w:t xml:space="preserve">Zamawiający dopuszcza zasilacz, który posiada certyfikat sprawności 80 </w:t>
            </w:r>
            <w:r w:rsidRPr="003118A7">
              <w:rPr>
                <w:rFonts w:eastAsia="Times New Roman"/>
              </w:rPr>
              <w:lastRenderedPageBreak/>
              <w:t>PLUS PLATINUM dla 115V.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lastRenderedPageBreak/>
              <w:t>Obudowa komputera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Typu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tower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>, 1 szt. zewnętrznej kieszeni 5,25’’, 2 szt. wewnętrznych kieszeni 3,5’’, 2x USB na przednim, bocznym lub górnym panelu w tym przynajmniej 1 x USB 3.0 (3.1) wyprowadzone z płyty głównej, zainstalowany wentylator, gniazdo audio, przycisk POWER.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Mysz i klawiatura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Mysz: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bezprzewodowa, laserowa lub optyczna</w:t>
            </w:r>
            <w:bookmarkStart w:id="1" w:name="_GoBack_kopia_2"/>
            <w:bookmarkEnd w:id="1"/>
            <w:r>
              <w:rPr>
                <w:rFonts w:eastAsia="Andale Sans UI" w:cs="Tahoma"/>
                <w:bCs/>
                <w:sz w:val="22"/>
                <w:szCs w:val="22"/>
              </w:rPr>
              <w:t>, 2 przyciski i rolka przewijania.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Możliwość połączenia po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bluetooth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>, interfejs 2,4 GHz.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Wymagany wbudowany akumulator, ładowanie przez USB-C.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Klawiatura: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bezprzewodowa, układ QWERTY z wydzielonym blokiem numerycznym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mysz oraz klawiatura obsługiwana za pomocą jednego odbiornika z możliwością podłączenia po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bluetooth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>, interfejs 2,4 GHz.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Wymagany wbudowany akumulator, ładowanie przez USB-C.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podkładka z podpórką na nadgarstek.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Czytnik kart mikroprocesorowych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Wewnętrzny lub zewnętrzny, podłączany przez port USB, zgodny ze standardem PC/SC. Odczyt dostępnych na rynku kart kryptograficznych zgodnych z normą ISO-7816, a w szczególności współpraca z kartami w standardzie PKCS#11 co najmniej w wersji 2.01. Współpraca z obecnie użytkowanymi w Policji kartami CRYPTOTECH MULTI SIGN, OBERTUR ID ONE ENCARD. Sterowniki do systemu Windows 7, Windows 8, Windows 10. Czytnik musi współpracować z posiadanym przez Policję systemem Bezpiecznego Trybu Uwierzytelniania Użytkowników funkcjonującym w Policyjnej Sieci Transmisji Danych.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System</w:t>
            </w:r>
            <w:r>
              <w:rPr>
                <w:rFonts w:eastAsia="Arial" w:cs="Tahom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ndale Sans UI" w:cs="Tahoma"/>
                <w:b/>
                <w:bCs/>
                <w:sz w:val="22"/>
                <w:szCs w:val="22"/>
              </w:rPr>
              <w:t>operacyjny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System operacyjny 64-bitowy w języku polskim.</w:t>
            </w:r>
          </w:p>
          <w:p w:rsidR="00676BBC" w:rsidRDefault="003118A7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 xml:space="preserve">Pakiet komercyjny, przeznaczony dla klientów indywidualnych, Microsoft Windows 10/11 Professional lub równoważny zgodny z posiadanymi przez Zamawiającego pakietami biurowymi MS Office 2016/2019/2021, oprogramowaniem antywirusowym Checkpoint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Endpoint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 xml:space="preserve"> Security, AVG 2019. Pełna współpraca z MS Active Directory. System powinien zawierać certyfikat autentyczności lub unikalny kod aktywacyjny. </w:t>
            </w:r>
            <w:r>
              <w:rPr>
                <w:rFonts w:eastAsia="Andale Sans UI" w:cs="Arial"/>
                <w:bCs/>
                <w:sz w:val="22"/>
              </w:rPr>
              <w:t xml:space="preserve">System musi być nowy, nieużywany i nigdy wcześniej nie aktywowany. </w:t>
            </w:r>
            <w:r>
              <w:rPr>
                <w:rFonts w:eastAsia="Andale Sans UI"/>
                <w:bCs/>
                <w:sz w:val="22"/>
                <w:szCs w:val="22"/>
              </w:rPr>
              <w:t xml:space="preserve">Zamawiający nie dopuszcza w systemie możliwości instalacji dodatkowych narzędzi emulujących działanie systemów i obecności oprogramowania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malware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 xml:space="preserve"> oraz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adware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>. System operacyjny zainstalowany na dysku, aktywowany, w najnowszej dostępnej wersji.</w:t>
            </w:r>
          </w:p>
        </w:tc>
      </w:tr>
      <w:tr w:rsidR="00676BBC">
        <w:tc>
          <w:tcPr>
            <w:tcW w:w="2486" w:type="dxa"/>
            <w:tcBorders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Windows 11</w:t>
            </w:r>
          </w:p>
        </w:tc>
        <w:tc>
          <w:tcPr>
            <w:tcW w:w="7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Pełna zgodność z Windows 11 na poziomie sprzętowym.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Certyfikaty i standardy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Deklaracja zgodności CE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Minimum 36 miesięcy</w:t>
            </w:r>
          </w:p>
        </w:tc>
      </w:tr>
    </w:tbl>
    <w:p w:rsidR="00676BBC" w:rsidRDefault="00676BBC">
      <w:pPr>
        <w:pStyle w:val="Standard"/>
        <w:ind w:firstLine="709"/>
        <w:jc w:val="both"/>
        <w:rPr>
          <w:bCs/>
          <w:sz w:val="22"/>
          <w:szCs w:val="22"/>
        </w:rPr>
      </w:pPr>
    </w:p>
    <w:p w:rsidR="00676BBC" w:rsidRDefault="00676BBC">
      <w:pPr>
        <w:pStyle w:val="Standard"/>
        <w:jc w:val="both"/>
        <w:rPr>
          <w:rFonts w:eastAsia="Times New Roman" w:cs="Arial"/>
          <w:b/>
          <w:bCs/>
          <w:sz w:val="18"/>
          <w:szCs w:val="18"/>
        </w:rPr>
      </w:pPr>
    </w:p>
    <w:p w:rsidR="00676BBC" w:rsidRDefault="00676BBC">
      <w:pPr>
        <w:pStyle w:val="Standard"/>
        <w:jc w:val="both"/>
        <w:rPr>
          <w:rFonts w:eastAsia="Times New Roman" w:cs="Arial"/>
          <w:b/>
          <w:bCs/>
          <w:sz w:val="18"/>
          <w:szCs w:val="18"/>
        </w:rPr>
      </w:pPr>
    </w:p>
    <w:p w:rsidR="00676BBC" w:rsidRDefault="003118A7">
      <w:pPr>
        <w:pStyle w:val="Standard"/>
        <w:numPr>
          <w:ilvl w:val="0"/>
          <w:numId w:val="2"/>
        </w:numPr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  <w:b/>
          <w:bCs/>
        </w:rPr>
      </w:pPr>
      <w:r>
        <w:rPr>
          <w:rFonts w:eastAsia="Andale Sans UI"/>
          <w:b/>
          <w:bCs/>
        </w:rPr>
        <w:t>Komputer biurkowy typ 2 – parametry minimalne:</w:t>
      </w:r>
    </w:p>
    <w:tbl>
      <w:tblPr>
        <w:tblW w:w="9904" w:type="dxa"/>
        <w:tblInd w:w="-133" w:type="dxa"/>
        <w:tblLayout w:type="fixed"/>
        <w:tblLook w:val="04A0" w:firstRow="1" w:lastRow="0" w:firstColumn="1" w:lastColumn="0" w:noHBand="0" w:noVBand="1"/>
      </w:tblPr>
      <w:tblGrid>
        <w:gridCol w:w="2486"/>
        <w:gridCol w:w="7418"/>
      </w:tblGrid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Wymagania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Procesor: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Zaoferowany procesor musi uzyskiwać w teście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PassMark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CPU Mark wynik </w:t>
            </w:r>
            <w:r>
              <w:rPr>
                <w:rFonts w:eastAsia="Andale Sans UI" w:cs="Tahoma"/>
                <w:b/>
                <w:bCs/>
                <w:sz w:val="22"/>
                <w:szCs w:val="22"/>
              </w:rPr>
              <w:t>59500</w:t>
            </w:r>
            <w:r>
              <w:rPr>
                <w:rFonts w:eastAsia="Andale Sans UI" w:cs="Tahoma"/>
                <w:bCs/>
                <w:sz w:val="22"/>
                <w:szCs w:val="22"/>
              </w:rPr>
              <w:t xml:space="preserve"> punktów, wynik zaproponowanego procesora musi znajdować się na stronie http://www.cpubenchmark.net.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Do procesora będzie dołączony system chłodzenia zapewniający poprawną i stabilną pracę.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</w:rPr>
              <w:t xml:space="preserve">Oferowany procesor musi znajdować się w bieżącej produkcji a data rozpoczęcia produkcji nie może być wcześniejsza niż </w:t>
            </w:r>
            <w:r>
              <w:rPr>
                <w:rFonts w:eastAsia="Andale Sans UI" w:cs="Tahoma"/>
                <w:color w:val="000000"/>
              </w:rPr>
              <w:t>czwarty kwartał 2022 roku.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Płyta główna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Standard płyty ATX, Chipset umożliwiający pełną, maksymalną funkcjonalność wszystkich podzespołów, wewnętrzne gniazda rozszerzeń minimum: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4 gniazda pamięci RAM DDR5,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1x PCI Express 4.0 x16,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1x PCI Express x1,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lastRenderedPageBreak/>
              <w:t>6x SATA III,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2x M.2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PCIe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4.0,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niedopuszczalne jest zastosowanie dodatkowych akcesoriów w celu realizacji powyższych wymagań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Porty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na panelu przednim: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min 4x USB 3.1 (typ A) lub wyższy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min 1x USB 3.1 (typ C) lub wyższy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słuchawkowe lub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combo</w:t>
            </w:r>
            <w:proofErr w:type="spellEnd"/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funkcjonalność dot. portów USB może być zrealizowana przy pomocy dodatkowych akcesoriów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na panelu tylnym: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min. 6x USB 3.1 lub wyższy – bez stosowania dodatkowych akcesoriów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RJ 45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HDMI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lastRenderedPageBreak/>
              <w:t>Pamięć operacyjna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</w:rPr>
              <w:t>64 GB RAM DDR5 taktowanie 5600 MHz, max opóźnienie CL 36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Dysk twardy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1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>Typ: SSD, wewnętrzny, pojemność min. 960 GB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/>
                <w:sz w:val="22"/>
                <w:szCs w:val="22"/>
              </w:rPr>
              <w:t>Rodzaj pamięci: SLC lub MLC lub TLC. Niedopuszczalne są dyski oparte o pamięci QLC.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/>
                <w:sz w:val="22"/>
                <w:szCs w:val="22"/>
              </w:rPr>
              <w:t>2</w:t>
            </w:r>
          </w:p>
          <w:p w:rsidR="00676BBC" w:rsidRDefault="003118A7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 xml:space="preserve">Typ: HDD. wewnętrzny, pojemność min. 4 TB, SATA III, min. cache 256 MB, prędkość obrotowa 7200 </w:t>
            </w:r>
            <w:proofErr w:type="spellStart"/>
            <w:r>
              <w:rPr>
                <w:rFonts w:eastAsia="Andale Sans UI"/>
                <w:sz w:val="22"/>
                <w:szCs w:val="22"/>
              </w:rPr>
              <w:t>obr</w:t>
            </w:r>
            <w:proofErr w:type="spellEnd"/>
            <w:r>
              <w:rPr>
                <w:rFonts w:eastAsia="Andale Sans UI"/>
                <w:sz w:val="22"/>
                <w:szCs w:val="22"/>
              </w:rPr>
              <w:t>/min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Karta graficzna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Zintegrowana z procesorem, z możliwością dynamicznego przydzielenia pamięci systemowej, ze sprzętowym wsparciem dla min. DirectX 12, Open GL 4.5, oraz</w:t>
            </w:r>
            <w:r>
              <w:rPr>
                <w:rFonts w:eastAsia="Andale Sans UI"/>
                <w:sz w:val="22"/>
                <w:szCs w:val="22"/>
              </w:rPr>
              <w:t xml:space="preserve"> dodatkowa karta graficzna osiągająca minimum 31 000 pkt w teście </w:t>
            </w:r>
            <w:proofErr w:type="spellStart"/>
            <w:r>
              <w:rPr>
                <w:rFonts w:eastAsia="Andale Sans UI"/>
                <w:sz w:val="22"/>
                <w:szCs w:val="22"/>
              </w:rPr>
              <w:t>PassMark</w:t>
            </w:r>
            <w:proofErr w:type="spellEnd"/>
            <w:r>
              <w:rPr>
                <w:rFonts w:eastAsia="Andale Sans UI"/>
                <w:sz w:val="22"/>
                <w:szCs w:val="22"/>
              </w:rPr>
              <w:br/>
            </w:r>
            <w:hyperlink r:id="rId6">
              <w:r>
                <w:rPr>
                  <w:rFonts w:eastAsia="Andale Sans UI"/>
                  <w:sz w:val="22"/>
                  <w:szCs w:val="22"/>
                </w:rPr>
                <w:t>https://www.videocardbenchmark.net/high_end_gpus.html</w:t>
              </w:r>
            </w:hyperlink>
            <w:r>
              <w:rPr>
                <w:rFonts w:eastAsia="Andale Sans UI"/>
                <w:sz w:val="22"/>
                <w:szCs w:val="22"/>
              </w:rPr>
              <w:t>.</w:t>
            </w:r>
            <w:r>
              <w:rPr>
                <w:rFonts w:eastAsia="Andale Sans UI"/>
                <w:sz w:val="22"/>
                <w:szCs w:val="22"/>
              </w:rPr>
              <w:br/>
              <w:t>Parametry min.:</w:t>
            </w:r>
          </w:p>
          <w:p w:rsidR="00676BBC" w:rsidRDefault="003118A7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proofErr w:type="spellStart"/>
            <w:r>
              <w:rPr>
                <w:rFonts w:eastAsia="Andale Sans UI"/>
                <w:sz w:val="22"/>
                <w:szCs w:val="22"/>
              </w:rPr>
              <w:t>PCIe</w:t>
            </w:r>
            <w:proofErr w:type="spellEnd"/>
            <w:r>
              <w:rPr>
                <w:rFonts w:eastAsia="Andale Sans UI"/>
                <w:sz w:val="22"/>
                <w:szCs w:val="22"/>
              </w:rPr>
              <w:t xml:space="preserve"> 4.0 x16,</w:t>
            </w:r>
          </w:p>
          <w:p w:rsidR="00676BBC" w:rsidRDefault="003118A7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>DirectX 12,</w:t>
            </w:r>
          </w:p>
          <w:p w:rsidR="00676BBC" w:rsidRDefault="003118A7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proofErr w:type="spellStart"/>
            <w:r>
              <w:rPr>
                <w:rFonts w:eastAsia="Andale Sans UI"/>
                <w:sz w:val="22"/>
                <w:szCs w:val="22"/>
              </w:rPr>
              <w:t>OpenGL</w:t>
            </w:r>
            <w:proofErr w:type="spellEnd"/>
            <w:r>
              <w:rPr>
                <w:rFonts w:eastAsia="Andale Sans UI"/>
                <w:sz w:val="22"/>
                <w:szCs w:val="22"/>
              </w:rPr>
              <w:t xml:space="preserve"> 4.6,</w:t>
            </w:r>
          </w:p>
          <w:p w:rsidR="00676BBC" w:rsidRDefault="003118A7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>Pamięć min. 16 GB,</w:t>
            </w:r>
          </w:p>
          <w:p w:rsidR="00676BBC" w:rsidRDefault="003118A7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>Szyna pamięci min. 256 bit,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nie dopuszcza kart z chłodzeniem single fan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Minimum dwa cyfrowe złącza HDMI lub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DisplayPort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lub jedno HDMI i jedno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DisplayPort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umożliwiające obsługę minimum 2 monitorów.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Karta dźwiękowa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Zintegrowana z płytą główną, zgodna z High Definition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Napęd optyczny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Andale Sans UI" w:cs="Tahoma"/>
                <w:sz w:val="22"/>
                <w:szCs w:val="22"/>
              </w:rPr>
              <w:t xml:space="preserve">Nagrywarka Blu-ray, wewnętrzna, </w:t>
            </w:r>
            <w:proofErr w:type="spellStart"/>
            <w:r>
              <w:rPr>
                <w:rFonts w:eastAsia="Andale Sans UI" w:cs="Tahoma"/>
                <w:sz w:val="22"/>
                <w:szCs w:val="22"/>
              </w:rPr>
              <w:t>interface</w:t>
            </w:r>
            <w:proofErr w:type="spellEnd"/>
            <w:r>
              <w:rPr>
                <w:rFonts w:eastAsia="Andale Sans UI" w:cs="Tahoma"/>
                <w:sz w:val="22"/>
                <w:szCs w:val="22"/>
              </w:rPr>
              <w:t xml:space="preserve"> SATA, zainstalowane oprogramowanie do nagrywania płyt CD, DVD, BD w polskiej wersji językowej bez ograniczeń czasowych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Zasilacz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8A7" w:rsidRDefault="003118A7">
            <w:pPr>
              <w:pStyle w:val="Standard"/>
              <w:rPr>
                <w:rFonts w:eastAsia="Andale Sans UI" w:cs="Tahoma"/>
                <w:sz w:val="22"/>
                <w:szCs w:val="22"/>
              </w:rPr>
            </w:pPr>
            <w:r>
              <w:rPr>
                <w:rFonts w:eastAsia="Andale Sans UI" w:cs="Tahoma"/>
                <w:sz w:val="22"/>
                <w:szCs w:val="22"/>
              </w:rPr>
              <w:t xml:space="preserve">230V, 50HZ, umożliwiający stabilną pracę przy maksymalnym obciążeniu, moc adekwatna do zestawu, aktywny filtr PFC, posiadający certyfikat sprawności 80 Plus </w:t>
            </w:r>
            <w:proofErr w:type="spellStart"/>
            <w:r>
              <w:rPr>
                <w:rFonts w:eastAsia="Andale Sans UI" w:cs="Tahoma"/>
                <w:sz w:val="22"/>
                <w:szCs w:val="22"/>
              </w:rPr>
              <w:t>Platinium</w:t>
            </w:r>
            <w:proofErr w:type="spellEnd"/>
            <w:r>
              <w:rPr>
                <w:rFonts w:eastAsia="Andale Sans UI" w:cs="Tahoma"/>
                <w:sz w:val="22"/>
                <w:szCs w:val="22"/>
              </w:rPr>
              <w:t xml:space="preserve"> – oferowany zasilacz musi się znajdować na stronie: </w:t>
            </w:r>
            <w:hyperlink r:id="rId7" w:history="1">
              <w:r w:rsidRPr="00A92BB0">
                <w:rPr>
                  <w:rStyle w:val="Hipercze"/>
                  <w:rFonts w:eastAsia="Andale Sans UI" w:cs="Tahoma"/>
                  <w:sz w:val="22"/>
                  <w:szCs w:val="22"/>
                </w:rPr>
                <w:t>http://www.plugloadsolutions.com/80PlusPowerSupplies.aspx</w:t>
              </w:r>
            </w:hyperlink>
            <w:r>
              <w:rPr>
                <w:rFonts w:eastAsia="Andale Sans UI" w:cs="Tahoma"/>
                <w:sz w:val="22"/>
                <w:szCs w:val="22"/>
              </w:rPr>
              <w:t xml:space="preserve">. </w:t>
            </w:r>
          </w:p>
          <w:p w:rsidR="00676BBC" w:rsidRDefault="003118A7">
            <w:pPr>
              <w:pStyle w:val="Standard"/>
              <w:rPr>
                <w:sz w:val="22"/>
                <w:szCs w:val="22"/>
              </w:rPr>
            </w:pPr>
            <w:r w:rsidRPr="003118A7">
              <w:rPr>
                <w:rFonts w:eastAsia="Times New Roman"/>
              </w:rPr>
              <w:t>Zamawiający dopuszcza zasilacz, który posiada certyfikat sprawności 80 PLUS PLATINUM dla 115V.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Obudowa komputera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Andale Sans UI" w:cs="Tahoma"/>
                <w:sz w:val="22"/>
                <w:szCs w:val="22"/>
              </w:rPr>
              <w:t xml:space="preserve">Typu </w:t>
            </w:r>
            <w:proofErr w:type="spellStart"/>
            <w:r>
              <w:rPr>
                <w:rFonts w:eastAsia="Andale Sans UI" w:cs="Tahoma"/>
                <w:sz w:val="22"/>
                <w:szCs w:val="22"/>
              </w:rPr>
              <w:t>tower</w:t>
            </w:r>
            <w:proofErr w:type="spellEnd"/>
            <w:r>
              <w:rPr>
                <w:rFonts w:eastAsia="Andale Sans UI" w:cs="Tahoma"/>
                <w:sz w:val="22"/>
                <w:szCs w:val="22"/>
              </w:rPr>
              <w:t>, 1 szt. zewnętrznej kieszeni 5,25’’, 2 szt. wewnętrznych kieszeni 3,5’’, zainstalowane min. 2 wentylatory 120 mm przód-tył, przycisk POWER, przedni panel umożliwiający swobodny przepływ powietrza, zdejmowane filtry o wysokim przepływie powietrza z przodu, góry i u podstawy z pełnym pokryciem zasilacza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Mysz i klawiatura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Mysz: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bezprzewodowa, laserowa lub optyczna</w:t>
            </w:r>
            <w:bookmarkStart w:id="2" w:name="_GoBack_kopia_1"/>
            <w:bookmarkEnd w:id="2"/>
            <w:r>
              <w:rPr>
                <w:rFonts w:eastAsia="Andale Sans UI" w:cs="Tahoma"/>
                <w:bCs/>
                <w:sz w:val="22"/>
                <w:szCs w:val="22"/>
              </w:rPr>
              <w:t>, 2 przyciski i rolka przewijania.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Możliwość połączenia po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bluetooth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>, interfejs 2,4 GHz.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Wymagany wbudowany akumulator, ładowanie przez USB-C.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Klawiatura: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lastRenderedPageBreak/>
              <w:t>bezprzewodowa, układ QWERTY z wydzielonym blokiem numerycznym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mysz oraz klawiatura obsługiwana za pomocą jednego odbiornika z możliwością podłączenia po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bluetooth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>, interfejs 2,4 GHz.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Wymagany wbudowany akumulator, ładowanie przez USB-C.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podkładka z podpórką na nadgarstek.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lastRenderedPageBreak/>
              <w:t>Czytnik kart mikroprocesorowych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Wewnętrzny lub zewnętrzny, podłączany przez port USB, zgodny ze standardem PC/SC. Odczyt dostępnych na rynku kart kryptograficznych zgodnych z normą ISO-7816, a w szczególności współpraca z kartami w standardzie PKCS#11 co najmniej w wersji 2.01. Współpraca z obecnie użytkowanymi w Policji kartami CRYPTOTECH MULTI SIGN, OBERTUR ID ONE ENCARD. Sterowniki do systemu Windows 7, Windows 8, Windows 10. Czytnik musi współpracować z posiadanym przez Policję systemem Bezpiecznego Trybu Uwierzytelniania Użytkowników funkcjonującym w Policyjnej Sieci Transmisji Danych.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System</w:t>
            </w:r>
            <w:r>
              <w:rPr>
                <w:rFonts w:eastAsia="Arial" w:cs="Tahom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ndale Sans UI" w:cs="Tahoma"/>
                <w:b/>
                <w:bCs/>
                <w:sz w:val="22"/>
                <w:szCs w:val="22"/>
              </w:rPr>
              <w:t>operacyjny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>System operacyjny 64-bitowy w języku polskim.</w:t>
            </w:r>
          </w:p>
          <w:p w:rsidR="00676BBC" w:rsidRDefault="003118A7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 xml:space="preserve">Pakiet komercyjny, przeznaczony dla klientów indywidualnych, Microsoft Windows 10/11 Professional lub równoważny zgodny z posiadanymi przez Zamawiającego pakietami biurowymi MS Office 2016/2019/2021, oprogramowaniem antywirusowym Checkpoint </w:t>
            </w:r>
            <w:proofErr w:type="spellStart"/>
            <w:r>
              <w:rPr>
                <w:rFonts w:eastAsia="Andale Sans UI"/>
                <w:sz w:val="22"/>
                <w:szCs w:val="22"/>
              </w:rPr>
              <w:t>Endpoint</w:t>
            </w:r>
            <w:proofErr w:type="spellEnd"/>
            <w:r>
              <w:rPr>
                <w:rFonts w:eastAsia="Andale Sans UI"/>
                <w:sz w:val="22"/>
                <w:szCs w:val="22"/>
              </w:rPr>
              <w:t xml:space="preserve"> Security, AVG 2019. Pełna współpraca z MS Active Directory. System powinien zawierać certyfikat autentyczności lub unikalny kod aktywacyjny. </w:t>
            </w:r>
            <w:r>
              <w:rPr>
                <w:rFonts w:eastAsia="Andale Sans UI" w:cs="Arial"/>
                <w:bCs/>
                <w:sz w:val="22"/>
              </w:rPr>
              <w:t xml:space="preserve">System musi być nowy, nieużywany i nigdy wcześniej nie aktywowany. </w:t>
            </w:r>
            <w:r>
              <w:rPr>
                <w:rFonts w:eastAsia="Andale Sans UI"/>
                <w:sz w:val="22"/>
                <w:szCs w:val="22"/>
              </w:rPr>
              <w:t xml:space="preserve">Zamawiający nie dopuszcza w systemie możliwości instalacji dodatkowych narzędzi emulujących działanie systemów i obecności oprogramowania </w:t>
            </w:r>
            <w:proofErr w:type="spellStart"/>
            <w:r>
              <w:rPr>
                <w:rFonts w:eastAsia="Andale Sans UI"/>
                <w:sz w:val="22"/>
                <w:szCs w:val="22"/>
              </w:rPr>
              <w:t>malware</w:t>
            </w:r>
            <w:proofErr w:type="spellEnd"/>
            <w:r>
              <w:rPr>
                <w:rFonts w:eastAsia="Andale Sans UI"/>
                <w:sz w:val="22"/>
                <w:szCs w:val="22"/>
              </w:rPr>
              <w:t xml:space="preserve"> oraz </w:t>
            </w:r>
            <w:proofErr w:type="spellStart"/>
            <w:r>
              <w:rPr>
                <w:rFonts w:eastAsia="Andale Sans UI"/>
                <w:sz w:val="22"/>
                <w:szCs w:val="22"/>
              </w:rPr>
              <w:t>adware</w:t>
            </w:r>
            <w:proofErr w:type="spellEnd"/>
            <w:r>
              <w:rPr>
                <w:rFonts w:eastAsia="Andale Sans UI"/>
                <w:sz w:val="22"/>
                <w:szCs w:val="22"/>
              </w:rPr>
              <w:t>. System operacyjny zainstalowany na dysku, aktywowany, w najnowszej dostępnej wersji.</w:t>
            </w:r>
          </w:p>
        </w:tc>
      </w:tr>
      <w:tr w:rsidR="00676BBC">
        <w:tc>
          <w:tcPr>
            <w:tcW w:w="2486" w:type="dxa"/>
            <w:tcBorders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Windows 11</w:t>
            </w:r>
          </w:p>
        </w:tc>
        <w:tc>
          <w:tcPr>
            <w:tcW w:w="7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Pełna zgodność z Windows 11 na poziomie sprzętowym.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Certyfikaty i standardy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Deklaracja zgodności CE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Minimum 36 miesięcy</w:t>
            </w:r>
          </w:p>
        </w:tc>
      </w:tr>
    </w:tbl>
    <w:p w:rsidR="00676BBC" w:rsidRDefault="00676BBC">
      <w:pPr>
        <w:pStyle w:val="Standard"/>
        <w:jc w:val="both"/>
        <w:rPr>
          <w:rFonts w:eastAsia="Times New Roman" w:cs="Arial"/>
          <w:b/>
          <w:bCs/>
          <w:sz w:val="18"/>
          <w:szCs w:val="18"/>
        </w:rPr>
      </w:pPr>
    </w:p>
    <w:p w:rsidR="00676BBC" w:rsidRDefault="00676BBC">
      <w:pPr>
        <w:pStyle w:val="Standard"/>
        <w:jc w:val="both"/>
        <w:rPr>
          <w:rFonts w:eastAsia="Times New Roman" w:cs="Arial"/>
          <w:b/>
          <w:bCs/>
          <w:sz w:val="18"/>
          <w:szCs w:val="18"/>
        </w:rPr>
      </w:pPr>
    </w:p>
    <w:p w:rsidR="00676BBC" w:rsidRDefault="00676BBC">
      <w:pPr>
        <w:pStyle w:val="Standard"/>
        <w:jc w:val="both"/>
        <w:rPr>
          <w:rFonts w:eastAsia="Times New Roman" w:cs="Arial"/>
          <w:b/>
          <w:bCs/>
          <w:sz w:val="18"/>
          <w:szCs w:val="18"/>
        </w:rPr>
      </w:pPr>
    </w:p>
    <w:p w:rsidR="00676BBC" w:rsidRDefault="003118A7">
      <w:pPr>
        <w:pStyle w:val="Standard"/>
        <w:numPr>
          <w:ilvl w:val="0"/>
          <w:numId w:val="2"/>
        </w:numPr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  <w:b/>
          <w:bCs/>
        </w:rPr>
      </w:pPr>
      <w:r>
        <w:rPr>
          <w:rFonts w:eastAsia="Andale Sans UI"/>
          <w:b/>
          <w:bCs/>
        </w:rPr>
        <w:t>Komputer biurkowy typ 3 – parametry minimalne:</w:t>
      </w:r>
    </w:p>
    <w:p w:rsidR="00676BBC" w:rsidRDefault="00676BBC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ind w:left="720"/>
        <w:rPr>
          <w:rFonts w:eastAsia="Andale Sans UI"/>
          <w:b/>
          <w:bCs/>
        </w:rPr>
      </w:pPr>
    </w:p>
    <w:tbl>
      <w:tblPr>
        <w:tblW w:w="9904" w:type="dxa"/>
        <w:tblInd w:w="-133" w:type="dxa"/>
        <w:tblLayout w:type="fixed"/>
        <w:tblLook w:val="04A0" w:firstRow="1" w:lastRow="0" w:firstColumn="1" w:lastColumn="0" w:noHBand="0" w:noVBand="1"/>
      </w:tblPr>
      <w:tblGrid>
        <w:gridCol w:w="2486"/>
        <w:gridCol w:w="7418"/>
      </w:tblGrid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Wymagania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Procesor: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Zaoferowany procesor musi uzyskiwać w teście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PassMark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CPU Mark wynik </w:t>
            </w:r>
            <w:r>
              <w:rPr>
                <w:rFonts w:eastAsia="Andale Sans UI" w:cs="Tahoma"/>
                <w:b/>
                <w:bCs/>
                <w:sz w:val="22"/>
                <w:szCs w:val="22"/>
              </w:rPr>
              <w:t>59500</w:t>
            </w:r>
            <w:r>
              <w:rPr>
                <w:rFonts w:eastAsia="Andale Sans UI" w:cs="Tahoma"/>
                <w:bCs/>
                <w:sz w:val="22"/>
                <w:szCs w:val="22"/>
              </w:rPr>
              <w:t xml:space="preserve"> punktów, wynik zaproponowanego procesora musi znajdować się na stronie http://www.cpubenchmark.net.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Do procesora będzie dołączony system chłodzenia zapewniający poprawną i stabilną pracę.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</w:rPr>
              <w:t xml:space="preserve">Oferowany procesor musi znajdować się w bieżącej produkcji a data rozpoczęcia produkcji nie może być wcześniejsza niż </w:t>
            </w:r>
            <w:r>
              <w:rPr>
                <w:rFonts w:eastAsia="Andale Sans UI" w:cs="Tahoma"/>
                <w:color w:val="000000"/>
              </w:rPr>
              <w:t>czwarty kwartał 2022 roku.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Płyta główna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Standard płyty ATX, Chipset umożliwiający pełną, maksymalną funkcjonalność wszystkich podzespołów, wewnętrzne gniazda rozszerzeń minimum: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4 gniazda pamięci RAM DDR5,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1x PCI Express 4.0 x16,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1x PCI Express x1,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6x SATA III,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2x M.2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PCIe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4.0,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niedopuszczalne jest zastosowanie dodatkowych akcesoriów w celu realizacji powyższych wymagań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Porty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na panelu przednim: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min 4x USB 3.1 (typ A) lub wyższy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min 1x USB 3.1 (typ C) lub wyższy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słuchawkowe lub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combo</w:t>
            </w:r>
            <w:proofErr w:type="spellEnd"/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lastRenderedPageBreak/>
              <w:t>funkcjonalność dot. portów USB może być zrealizowana przy pomocy dodatkowych akcesoriów</w:t>
            </w:r>
          </w:p>
          <w:p w:rsidR="00676BBC" w:rsidRDefault="003118A7">
            <w:pPr>
              <w:pStyle w:val="Standard"/>
              <w:jc w:val="both"/>
            </w:pPr>
            <w:bookmarkStart w:id="3" w:name="_GoBack2"/>
            <w:bookmarkEnd w:id="3"/>
            <w:r>
              <w:rPr>
                <w:rFonts w:eastAsia="Andale Sans UI" w:cs="Tahoma"/>
                <w:bCs/>
                <w:sz w:val="22"/>
                <w:szCs w:val="22"/>
              </w:rPr>
              <w:t>na panelu tylnym: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min. 6x USB 3.1 lub wyższy – bez stosowania dodatkowych akcesoriów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RJ 45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HDMI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lastRenderedPageBreak/>
              <w:t>Pamięć operacyjna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Andale Sans UI" w:cs="Tahoma"/>
                <w:sz w:val="22"/>
                <w:szCs w:val="22"/>
              </w:rPr>
              <w:t>128 GB RAM DDR5 taktowanie 5600 MHz, max opóźnienie CL 36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Dysk twardy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1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>Typ: SSD, wewnętrzny, pojemność min. 960 GB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/>
                <w:sz w:val="22"/>
                <w:szCs w:val="22"/>
              </w:rPr>
              <w:t>Rodzaj pamięci: SLC lub MLC lub TLC. Niedopuszczalne są dyski oparte o pamięci QLC.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/>
                <w:sz w:val="22"/>
                <w:szCs w:val="22"/>
              </w:rPr>
              <w:t>2</w:t>
            </w:r>
          </w:p>
          <w:p w:rsidR="00676BBC" w:rsidRDefault="003118A7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 xml:space="preserve">Typ: HDD. wewnętrzny, pojemność min. 32 TB, SATA III, min. cache 256 MB, prędkość obrotowa 7200 </w:t>
            </w:r>
            <w:proofErr w:type="spellStart"/>
            <w:r>
              <w:rPr>
                <w:rFonts w:eastAsia="Andale Sans UI"/>
                <w:sz w:val="22"/>
                <w:szCs w:val="22"/>
              </w:rPr>
              <w:t>obr</w:t>
            </w:r>
            <w:proofErr w:type="spellEnd"/>
            <w:r>
              <w:rPr>
                <w:rFonts w:eastAsia="Andale Sans UI"/>
                <w:sz w:val="22"/>
                <w:szCs w:val="22"/>
              </w:rPr>
              <w:t>/min.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Karta graficzna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Zintegrowana z procesorem, z możliwością dynamicznego przydzielenia pamięci systemowej, ze sprzętowym wsparciem dla min. DirectX 12, Open GL 4.5, oraz</w:t>
            </w:r>
            <w:r>
              <w:rPr>
                <w:rFonts w:eastAsia="Andale Sans UI"/>
                <w:sz w:val="22"/>
                <w:szCs w:val="22"/>
              </w:rPr>
              <w:t xml:space="preserve"> dodatkowa karta graficzna osiągająca minimum 38 500 pkt w teście </w:t>
            </w:r>
            <w:proofErr w:type="spellStart"/>
            <w:r>
              <w:rPr>
                <w:rFonts w:eastAsia="Andale Sans UI"/>
                <w:sz w:val="22"/>
                <w:szCs w:val="22"/>
              </w:rPr>
              <w:t>PassMark</w:t>
            </w:r>
            <w:proofErr w:type="spellEnd"/>
            <w:r>
              <w:rPr>
                <w:rFonts w:eastAsia="Andale Sans UI"/>
                <w:sz w:val="22"/>
                <w:szCs w:val="22"/>
              </w:rPr>
              <w:br/>
            </w:r>
            <w:hyperlink r:id="rId8">
              <w:r>
                <w:rPr>
                  <w:rFonts w:eastAsia="Andale Sans UI"/>
                  <w:sz w:val="22"/>
                  <w:szCs w:val="22"/>
                </w:rPr>
                <w:t>https://www.videocardbenchmark.net/high_end_gpus.html</w:t>
              </w:r>
            </w:hyperlink>
            <w:r>
              <w:rPr>
                <w:rFonts w:eastAsia="Andale Sans UI"/>
                <w:sz w:val="22"/>
                <w:szCs w:val="22"/>
              </w:rPr>
              <w:t>.</w:t>
            </w:r>
            <w:r>
              <w:rPr>
                <w:rFonts w:eastAsia="Andale Sans UI"/>
                <w:sz w:val="22"/>
                <w:szCs w:val="22"/>
              </w:rPr>
              <w:br/>
              <w:t>Parametry min.:</w:t>
            </w:r>
          </w:p>
          <w:p w:rsidR="00676BBC" w:rsidRDefault="003118A7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proofErr w:type="spellStart"/>
            <w:r>
              <w:rPr>
                <w:rFonts w:eastAsia="Andale Sans UI"/>
                <w:sz w:val="22"/>
                <w:szCs w:val="22"/>
              </w:rPr>
              <w:t>PCIe</w:t>
            </w:r>
            <w:proofErr w:type="spellEnd"/>
            <w:r>
              <w:rPr>
                <w:rFonts w:eastAsia="Andale Sans UI"/>
                <w:sz w:val="22"/>
                <w:szCs w:val="22"/>
              </w:rPr>
              <w:t xml:space="preserve"> 4.0 x16,</w:t>
            </w:r>
          </w:p>
          <w:p w:rsidR="00676BBC" w:rsidRDefault="003118A7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>DirectX 12,</w:t>
            </w:r>
          </w:p>
          <w:p w:rsidR="00676BBC" w:rsidRDefault="003118A7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proofErr w:type="spellStart"/>
            <w:r>
              <w:rPr>
                <w:rFonts w:eastAsia="Andale Sans UI"/>
                <w:sz w:val="22"/>
                <w:szCs w:val="22"/>
              </w:rPr>
              <w:t>OpenGL</w:t>
            </w:r>
            <w:proofErr w:type="spellEnd"/>
            <w:r>
              <w:rPr>
                <w:rFonts w:eastAsia="Andale Sans UI"/>
                <w:sz w:val="22"/>
                <w:szCs w:val="22"/>
              </w:rPr>
              <w:t xml:space="preserve"> 4.6,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/>
                <w:sz w:val="22"/>
                <w:szCs w:val="22"/>
              </w:rPr>
              <w:t>Pamięć min. 24GB,</w:t>
            </w:r>
          </w:p>
          <w:p w:rsidR="00676BBC" w:rsidRDefault="003118A7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>Szyna pamięci min. 256 bit,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nie dopuszcza kart z chłodzeniem single fan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Minimum dwa cyfrowe złącza HDMI lub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DisplayPort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lub jedno HDMI i jedno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DisplayPort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umożliwiające obsługę minimum 2 monitorów.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Karta dźwiękowa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Zintegrowana z płytą główną, zgodna z High Definition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Napęd optyczny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Andale Sans UI" w:cs="Tahoma"/>
                <w:sz w:val="22"/>
                <w:szCs w:val="22"/>
              </w:rPr>
              <w:t xml:space="preserve">Nagrywarka Blu-ray, wewnętrzna, </w:t>
            </w:r>
            <w:proofErr w:type="spellStart"/>
            <w:r>
              <w:rPr>
                <w:rFonts w:eastAsia="Andale Sans UI" w:cs="Tahoma"/>
                <w:sz w:val="22"/>
                <w:szCs w:val="22"/>
              </w:rPr>
              <w:t>interface</w:t>
            </w:r>
            <w:proofErr w:type="spellEnd"/>
            <w:r>
              <w:rPr>
                <w:rFonts w:eastAsia="Andale Sans UI" w:cs="Tahoma"/>
                <w:sz w:val="22"/>
                <w:szCs w:val="22"/>
              </w:rPr>
              <w:t xml:space="preserve"> SATA, zainstalowane oprogramowanie do nagrywania płyt CD, DVD, BD w polskiej wersji językowej bez ograniczeń czasowych.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Zasilacz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sz w:val="22"/>
                <w:szCs w:val="22"/>
              </w:rPr>
            </w:pPr>
            <w:r>
              <w:rPr>
                <w:rFonts w:eastAsia="Andale Sans UI" w:cs="Tahoma"/>
                <w:sz w:val="22"/>
                <w:szCs w:val="22"/>
              </w:rPr>
              <w:t xml:space="preserve">230V, 50HZ, umożliwiający stabilną pracę przy maksymalnym obciążeniu, moc adekwatna do zestawu, aktywny filtr PFC, posiadający certyfikat sprawności 80 Plus </w:t>
            </w:r>
            <w:proofErr w:type="spellStart"/>
            <w:r>
              <w:rPr>
                <w:rFonts w:eastAsia="Andale Sans UI" w:cs="Tahoma"/>
                <w:sz w:val="22"/>
                <w:szCs w:val="22"/>
              </w:rPr>
              <w:t>Platinium</w:t>
            </w:r>
            <w:proofErr w:type="spellEnd"/>
            <w:r>
              <w:rPr>
                <w:rFonts w:eastAsia="Andale Sans UI" w:cs="Tahoma"/>
                <w:sz w:val="22"/>
                <w:szCs w:val="22"/>
              </w:rPr>
              <w:t xml:space="preserve"> – oferowany zasilacz musi się znajdować na stronie: </w:t>
            </w:r>
            <w:hyperlink r:id="rId9" w:history="1">
              <w:r w:rsidRPr="00A92BB0">
                <w:rPr>
                  <w:rStyle w:val="Hipercze"/>
                  <w:rFonts w:eastAsia="Andale Sans UI" w:cs="Tahoma"/>
                  <w:sz w:val="22"/>
                  <w:szCs w:val="22"/>
                </w:rPr>
                <w:t>http://www.plugloadsolutions.com/80PlusPowerSupplies.aspx</w:t>
              </w:r>
            </w:hyperlink>
            <w:r>
              <w:rPr>
                <w:rFonts w:eastAsia="Andale Sans UI" w:cs="Tahoma"/>
                <w:sz w:val="22"/>
                <w:szCs w:val="22"/>
              </w:rPr>
              <w:t>.</w:t>
            </w:r>
          </w:p>
          <w:p w:rsidR="003118A7" w:rsidRDefault="003118A7">
            <w:pPr>
              <w:pStyle w:val="Standard"/>
              <w:rPr>
                <w:sz w:val="22"/>
                <w:szCs w:val="22"/>
              </w:rPr>
            </w:pPr>
            <w:r w:rsidRPr="003118A7">
              <w:rPr>
                <w:rFonts w:eastAsia="Times New Roman"/>
              </w:rPr>
              <w:t>Zamawiający dopuszcza zasilacz, który posiada certyfikat sprawności 80 PLUS PLATINUM dla 115V.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Obudowa komputera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Andale Sans UI" w:cs="Tahoma"/>
                <w:sz w:val="22"/>
                <w:szCs w:val="22"/>
              </w:rPr>
              <w:t xml:space="preserve">Typu </w:t>
            </w:r>
            <w:proofErr w:type="spellStart"/>
            <w:r>
              <w:rPr>
                <w:rFonts w:eastAsia="Andale Sans UI" w:cs="Tahoma"/>
                <w:sz w:val="22"/>
                <w:szCs w:val="22"/>
              </w:rPr>
              <w:t>tower</w:t>
            </w:r>
            <w:proofErr w:type="spellEnd"/>
            <w:r>
              <w:rPr>
                <w:rFonts w:eastAsia="Andale Sans UI" w:cs="Tahoma"/>
                <w:sz w:val="22"/>
                <w:szCs w:val="22"/>
              </w:rPr>
              <w:t>, 1 szt. zewnętrznej kieszeni 5,25’’, 2 szt. wewnętrznych kieszeni 3,5’’, zainstalowane min. 2 wentylatory 120 mm przód-tył, przycisk POWER, przedni panel umożliwiający swobodny przepływ powietrza, zdejmowane filtry o wysokim przepływie powietrza z przodu, góry i u podstawy z pełnym pokryciem zasilacza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Mysz i klawiatura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Mysz: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bezprzewodowa, laserowa lub optyczna, 2 przyciski i rolka przewijania.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Możliwość połączenia po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bluetooth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>, interfejs 2,4 GHz.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Wymagany wbudowany akumulator, ładowanie przez USB-C.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Klawiatura: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bezprzewodowa, układ QWERTY z wydzielonym blokiem numerycznym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mysz oraz klawiatura obsługiwana za pomocą jednego odbiornika z możliwością podłączenia po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bluetooth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>, interfejs 2,4 GHz.</w:t>
            </w:r>
          </w:p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Wymagany wbudowany akumulator, ładowanie przez USB-C.</w:t>
            </w:r>
          </w:p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</w:rPr>
              <w:t>podkładka z podpórką na nadgarstek.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Czytnik kart mikroprocesorowych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Wewnętrzny lub zewnętrzny, podłączany przez port USB, zgodny ze standardem PC/SC. Odczyt dostępnych na rynku kart kryptograficznych zgodnych z normą ISO-7816, a w szczególności współpraca z kartami w standardzie PKCS#11 co najmniej w wersji 2.01. Współpraca z obecnie użytkowanymi w Policji kartami </w:t>
            </w:r>
            <w:r>
              <w:rPr>
                <w:rFonts w:eastAsia="Andale Sans UI" w:cs="Tahoma"/>
                <w:bCs/>
                <w:sz w:val="22"/>
                <w:szCs w:val="22"/>
              </w:rPr>
              <w:lastRenderedPageBreak/>
              <w:t>CRYPTOTECH MULTI SIGN, OBERTUR ID ONE ENCARD. Sterowniki do systemu Windows 7, Windows 8, Windows 10. Czytnik musi współpracować z posiadanym przez Policję systemem Bezpiecznego Trybu Uwierzytelniania Użytkowników funkcjonującym w Policyjnej Sieci Transmisji Danych.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lastRenderedPageBreak/>
              <w:t>System</w:t>
            </w:r>
            <w:r>
              <w:rPr>
                <w:rFonts w:eastAsia="Arial" w:cs="Tahom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ndale Sans UI" w:cs="Tahoma"/>
                <w:b/>
                <w:bCs/>
                <w:sz w:val="22"/>
                <w:szCs w:val="22"/>
              </w:rPr>
              <w:t>operacyjny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>System operacyjny 64-bitowy w języku polskim.</w:t>
            </w:r>
          </w:p>
          <w:p w:rsidR="00676BBC" w:rsidRDefault="003118A7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 xml:space="preserve">Pakiet komercyjny, przeznaczony dla klientów indywidualnych, Microsoft Windows 10/11 Professional lub równoważny zgodny z posiadanymi przez Zamawiającego pakietami biurowymi MS Office 2016/2019/2021, oprogramowaniem antywirusowym Checkpoint </w:t>
            </w:r>
            <w:proofErr w:type="spellStart"/>
            <w:r>
              <w:rPr>
                <w:rFonts w:eastAsia="Andale Sans UI"/>
                <w:sz w:val="22"/>
                <w:szCs w:val="22"/>
              </w:rPr>
              <w:t>Endpoint</w:t>
            </w:r>
            <w:proofErr w:type="spellEnd"/>
            <w:r>
              <w:rPr>
                <w:rFonts w:eastAsia="Andale Sans UI"/>
                <w:sz w:val="22"/>
                <w:szCs w:val="22"/>
              </w:rPr>
              <w:t xml:space="preserve"> Security, AVG 2019. Pełna współpraca z MS Active Directory. System powinien zawierać certyfikat autentyczności lub unikalny kod aktywacyjny. </w:t>
            </w:r>
            <w:r>
              <w:rPr>
                <w:rFonts w:eastAsia="Andale Sans UI" w:cs="Arial"/>
                <w:bCs/>
                <w:sz w:val="22"/>
              </w:rPr>
              <w:t xml:space="preserve">System musi być nowy, nieużywany i nigdy wcześniej nie aktywowany. </w:t>
            </w:r>
            <w:r>
              <w:rPr>
                <w:rFonts w:eastAsia="Andale Sans UI"/>
                <w:sz w:val="22"/>
                <w:szCs w:val="22"/>
              </w:rPr>
              <w:t xml:space="preserve">Zamawiający nie dopuszcza w systemie możliwości instalacji dodatkowych narzędzi emulujących działanie systemów i obecności oprogramowania </w:t>
            </w:r>
            <w:proofErr w:type="spellStart"/>
            <w:r>
              <w:rPr>
                <w:rFonts w:eastAsia="Andale Sans UI"/>
                <w:sz w:val="22"/>
                <w:szCs w:val="22"/>
              </w:rPr>
              <w:t>malware</w:t>
            </w:r>
            <w:proofErr w:type="spellEnd"/>
            <w:r>
              <w:rPr>
                <w:rFonts w:eastAsia="Andale Sans UI"/>
                <w:sz w:val="22"/>
                <w:szCs w:val="22"/>
              </w:rPr>
              <w:t xml:space="preserve"> oraz </w:t>
            </w:r>
            <w:proofErr w:type="spellStart"/>
            <w:r>
              <w:rPr>
                <w:rFonts w:eastAsia="Andale Sans UI"/>
                <w:sz w:val="22"/>
                <w:szCs w:val="22"/>
              </w:rPr>
              <w:t>adware</w:t>
            </w:r>
            <w:proofErr w:type="spellEnd"/>
            <w:r>
              <w:rPr>
                <w:rFonts w:eastAsia="Andale Sans UI"/>
                <w:sz w:val="22"/>
                <w:szCs w:val="22"/>
              </w:rPr>
              <w:t>. System operacyjny zainstalowany na dysku, aktywowany, w najnowszej dostępnej wersji.</w:t>
            </w:r>
          </w:p>
        </w:tc>
      </w:tr>
      <w:tr w:rsidR="00676BBC">
        <w:tc>
          <w:tcPr>
            <w:tcW w:w="2486" w:type="dxa"/>
            <w:tcBorders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Windows 11</w:t>
            </w:r>
          </w:p>
        </w:tc>
        <w:tc>
          <w:tcPr>
            <w:tcW w:w="7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Pełna zgodność z Windows 11 na poziomie sprzętowym.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Certyfikaty i standardy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Deklaracja zgodności CE</w:t>
            </w:r>
          </w:p>
        </w:tc>
      </w:tr>
      <w:tr w:rsidR="00676BBC"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6BBC" w:rsidRDefault="003118A7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BBC" w:rsidRDefault="003118A7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Minimum 36 miesięcy</w:t>
            </w:r>
          </w:p>
        </w:tc>
      </w:tr>
    </w:tbl>
    <w:p w:rsidR="00676BBC" w:rsidRDefault="00676BBC">
      <w:pPr>
        <w:pStyle w:val="Standard"/>
        <w:jc w:val="both"/>
        <w:rPr>
          <w:bCs/>
          <w:sz w:val="22"/>
          <w:szCs w:val="22"/>
        </w:rPr>
      </w:pPr>
    </w:p>
    <w:p w:rsidR="00676BBC" w:rsidRDefault="00676BBC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ind w:left="720"/>
        <w:rPr>
          <w:rFonts w:eastAsia="Andale Sans UI"/>
          <w:b/>
          <w:bCs/>
        </w:rPr>
      </w:pPr>
    </w:p>
    <w:p w:rsidR="00676BBC" w:rsidRDefault="00676BBC">
      <w:pPr>
        <w:pStyle w:val="Standard"/>
        <w:ind w:firstLine="709"/>
        <w:jc w:val="both"/>
      </w:pPr>
    </w:p>
    <w:p w:rsidR="00676BBC" w:rsidRDefault="003118A7">
      <w:pPr>
        <w:pStyle w:val="Standard"/>
        <w:tabs>
          <w:tab w:val="left" w:pos="567"/>
        </w:tabs>
        <w:spacing w:line="312" w:lineRule="auto"/>
        <w:jc w:val="both"/>
        <w:rPr>
          <w:rFonts w:eastAsia="Andale Sans UI"/>
          <w:b/>
          <w:bCs/>
        </w:rPr>
      </w:pPr>
      <w:r>
        <w:rPr>
          <w:rFonts w:eastAsia="Andale Sans UI"/>
          <w:b/>
          <w:bCs/>
        </w:rPr>
        <w:t>Pozostałe wymagania dotyczące przedmiotu zamówienia:</w:t>
      </w:r>
    </w:p>
    <w:p w:rsidR="00676BBC" w:rsidRDefault="003118A7">
      <w:pPr>
        <w:pStyle w:val="Standard"/>
        <w:numPr>
          <w:ilvl w:val="0"/>
          <w:numId w:val="5"/>
        </w:numPr>
        <w:tabs>
          <w:tab w:val="left" w:pos="0"/>
          <w:tab w:val="left" w:pos="720"/>
        </w:tabs>
        <w:spacing w:line="312" w:lineRule="auto"/>
        <w:jc w:val="both"/>
      </w:pPr>
      <w:r>
        <w:t>Dostarczony sprzęt będący przedmiotem umowy musi być fabrycznie nowy (nieużywany).</w:t>
      </w:r>
    </w:p>
    <w:p w:rsidR="00676BBC" w:rsidRDefault="003118A7">
      <w:pPr>
        <w:pStyle w:val="Standard"/>
        <w:numPr>
          <w:ilvl w:val="0"/>
          <w:numId w:val="6"/>
        </w:numPr>
        <w:tabs>
          <w:tab w:val="left" w:pos="0"/>
          <w:tab w:val="left" w:pos="720"/>
        </w:tabs>
        <w:spacing w:line="312" w:lineRule="auto"/>
        <w:jc w:val="both"/>
      </w:pPr>
      <w:r>
        <w:t xml:space="preserve">Dostarczony sprzęt będący przedmiotem umowy musi posiadać wszystkie niezbędne kable, zasilacze oraz inne akcesoria niezbędne do jego prawidłowej pracy. </w:t>
      </w:r>
    </w:p>
    <w:p w:rsidR="00676BBC" w:rsidRDefault="003118A7">
      <w:pPr>
        <w:pStyle w:val="Standard"/>
        <w:numPr>
          <w:ilvl w:val="0"/>
          <w:numId w:val="7"/>
        </w:numPr>
        <w:tabs>
          <w:tab w:val="left" w:pos="0"/>
          <w:tab w:val="left" w:pos="720"/>
        </w:tabs>
        <w:spacing w:line="312" w:lineRule="auto"/>
        <w:jc w:val="both"/>
      </w:pPr>
      <w:r>
        <w:t>Sterowniki/oprogramowanie do urządzeń będą dostarczone na osobnych nośnikach.</w:t>
      </w:r>
    </w:p>
    <w:p w:rsidR="00676BBC" w:rsidRDefault="003118A7">
      <w:pPr>
        <w:pStyle w:val="Standard"/>
        <w:numPr>
          <w:ilvl w:val="0"/>
          <w:numId w:val="8"/>
        </w:numPr>
        <w:tabs>
          <w:tab w:val="left" w:pos="0"/>
          <w:tab w:val="left" w:pos="720"/>
        </w:tabs>
        <w:spacing w:line="312" w:lineRule="auto"/>
        <w:jc w:val="both"/>
      </w:pPr>
      <w:r>
        <w:t>Dostarczony sprzęt musi posiadać oznakowanie CE.</w:t>
      </w:r>
    </w:p>
    <w:p w:rsidR="00676BBC" w:rsidRDefault="003118A7">
      <w:pPr>
        <w:pStyle w:val="Standard"/>
        <w:numPr>
          <w:ilvl w:val="0"/>
          <w:numId w:val="9"/>
        </w:numPr>
        <w:tabs>
          <w:tab w:val="left" w:pos="0"/>
          <w:tab w:val="left" w:pos="720"/>
        </w:tabs>
        <w:spacing w:line="312" w:lineRule="auto"/>
        <w:jc w:val="both"/>
      </w:pPr>
      <w:r>
        <w:t>W przypadku pojawienia się wątpliwości co do pochodzenia oferowanego sprzętu, jego właściwości, parametrów technicznych, oznaczeń czy też funkcjonalności, Zamawiający zastrzega sobie prawo do wezwania Wykonawców do składania wyjaśnień, w tym do przedstawiania dokumentów uwiarygadniających powyższe, a także prawo do żądania próbek testowych tego sprzętu.</w:t>
      </w:r>
    </w:p>
    <w:p w:rsidR="00676BBC" w:rsidRDefault="003118A7">
      <w:pPr>
        <w:pStyle w:val="Standard"/>
        <w:numPr>
          <w:ilvl w:val="0"/>
          <w:numId w:val="10"/>
        </w:numPr>
        <w:tabs>
          <w:tab w:val="left" w:pos="0"/>
          <w:tab w:val="left" w:pos="720"/>
        </w:tabs>
        <w:spacing w:line="312" w:lineRule="auto"/>
        <w:jc w:val="both"/>
      </w:pPr>
      <w:r>
        <w:t>Niedozwolone jest oferowanie sprzętu polegające na działaniu de-</w:t>
      </w:r>
      <w:proofErr w:type="spellStart"/>
      <w:r>
        <w:t>brandingu</w:t>
      </w:r>
      <w:proofErr w:type="spellEnd"/>
      <w:r>
        <w:t>, ponieważ działanie to stanowi czyn nieuczciwej konkurencji. Oferty w których sprzęt został poddany działaniu usunięcia, zastąpienia lub w jakikolwiek inny sposób przerobienia oznaczeń mających na celu ukrycie lub wprowadzenie w błąd co do pochodzenia, jakości, czy właściwości sprzętu będą odrzucane.</w:t>
      </w:r>
    </w:p>
    <w:p w:rsidR="00676BBC" w:rsidRDefault="00676BBC">
      <w:pPr>
        <w:pStyle w:val="Standard"/>
        <w:ind w:left="709"/>
        <w:jc w:val="both"/>
        <w:rPr>
          <w:sz w:val="22"/>
          <w:szCs w:val="22"/>
        </w:rPr>
      </w:pPr>
      <w:bookmarkStart w:id="4" w:name="_Hlk114081072"/>
      <w:bookmarkEnd w:id="4"/>
    </w:p>
    <w:p w:rsidR="00676BBC" w:rsidRDefault="00676BBC">
      <w:pPr>
        <w:pStyle w:val="Standard"/>
        <w:ind w:left="709"/>
        <w:jc w:val="both"/>
        <w:rPr>
          <w:sz w:val="22"/>
          <w:szCs w:val="22"/>
        </w:rPr>
      </w:pPr>
    </w:p>
    <w:sectPr w:rsidR="00676BBC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42834"/>
    <w:multiLevelType w:val="multilevel"/>
    <w:tmpl w:val="386848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3F611B5F"/>
    <w:multiLevelType w:val="multilevel"/>
    <w:tmpl w:val="720A8E3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56A370A4"/>
    <w:multiLevelType w:val="multilevel"/>
    <w:tmpl w:val="127A53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5FD447D"/>
    <w:multiLevelType w:val="multilevel"/>
    <w:tmpl w:val="6E3A0AF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"/>
    <w:lvlOverride w:ilvl="0">
      <w:startOverride w:val="1"/>
    </w:lvlOverride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BBC"/>
    <w:rsid w:val="003118A7"/>
    <w:rsid w:val="00676BBC"/>
    <w:rsid w:val="00723345"/>
    <w:rsid w:val="00E3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89DA5"/>
  <w15:docId w15:val="{19B06340-0DCA-4843-BE7C-9D5C006F6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Standard"/>
    <w:next w:val="Textbody"/>
    <w:qFormat/>
    <w:pPr>
      <w:widowControl/>
      <w:suppressAutoHyphens w:val="0"/>
      <w:spacing w:before="100" w:after="100"/>
      <w:outlineLvl w:val="0"/>
    </w:pPr>
    <w:rPr>
      <w:rFonts w:eastAsia="Times New Roman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sz w:val="22"/>
      <w:szCs w:val="22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0">
    <w:name w:val="WW8Num3z0"/>
    <w:qFormat/>
    <w:rPr>
      <w:sz w:val="22"/>
      <w:szCs w:val="22"/>
    </w:rPr>
  </w:style>
  <w:style w:type="character" w:customStyle="1" w:styleId="WW8Num4z0">
    <w:name w:val="WW8Num4z0"/>
    <w:qFormat/>
    <w:rPr>
      <w:rFonts w:ascii="Symbol" w:eastAsia="Symbol" w:hAnsi="Symbol" w:cs="Symbol"/>
      <w:sz w:val="20"/>
    </w:rPr>
  </w:style>
  <w:style w:type="character" w:customStyle="1" w:styleId="WW8Num4z1">
    <w:name w:val="WW8Num4z1"/>
    <w:qFormat/>
    <w:rPr>
      <w:rFonts w:ascii="Courier New" w:eastAsia="Courier New" w:hAnsi="Courier New" w:cs="Courier New"/>
      <w:sz w:val="20"/>
    </w:rPr>
  </w:style>
  <w:style w:type="character" w:customStyle="1" w:styleId="WW8Num4z2">
    <w:name w:val="WW8Num4z2"/>
    <w:qFormat/>
    <w:rPr>
      <w:rFonts w:ascii="Wingdings" w:eastAsia="Wingdings" w:hAnsi="Wingdings" w:cs="Wingdings"/>
      <w:sz w:val="20"/>
    </w:rPr>
  </w:style>
  <w:style w:type="character" w:customStyle="1" w:styleId="WW8Num5z0">
    <w:name w:val="WW8Num5z0"/>
    <w:qFormat/>
    <w:rPr>
      <w:rFonts w:ascii="Symbol" w:eastAsia="Symbol" w:hAnsi="Symbol" w:cs="Symbol"/>
      <w:sz w:val="20"/>
    </w:rPr>
  </w:style>
  <w:style w:type="character" w:customStyle="1" w:styleId="WW8Num5z1">
    <w:name w:val="WW8Num5z1"/>
    <w:qFormat/>
    <w:rPr>
      <w:rFonts w:ascii="Courier New" w:eastAsia="Courier New" w:hAnsi="Courier New" w:cs="Courier New"/>
      <w:sz w:val="20"/>
    </w:rPr>
  </w:style>
  <w:style w:type="character" w:customStyle="1" w:styleId="WW8Num5z2">
    <w:name w:val="WW8Num5z2"/>
    <w:qFormat/>
    <w:rPr>
      <w:rFonts w:ascii="Wingdings" w:eastAsia="Wingdings" w:hAnsi="Wingdings" w:cs="Wingdings"/>
      <w:sz w:val="20"/>
    </w:rPr>
  </w:style>
  <w:style w:type="character" w:customStyle="1" w:styleId="Domylnaczcionkaakapitu3">
    <w:name w:val="Domyślna czcionka akapitu3"/>
    <w:qFormat/>
  </w:style>
  <w:style w:type="character" w:customStyle="1" w:styleId="WW8Num2z1">
    <w:name w:val="WW8Num2z1"/>
    <w:qFormat/>
    <w:rPr>
      <w:rFonts w:ascii="Courier New" w:eastAsia="Courier New" w:hAnsi="Courier New" w:cs="Courier New"/>
    </w:rPr>
  </w:style>
  <w:style w:type="character" w:customStyle="1" w:styleId="WW8Num2z2">
    <w:name w:val="WW8Num2z2"/>
    <w:qFormat/>
    <w:rPr>
      <w:rFonts w:ascii="Wingdings" w:eastAsia="Wingdings" w:hAnsi="Wingdings" w:cs="Wingdings"/>
    </w:rPr>
  </w:style>
  <w:style w:type="character" w:customStyle="1" w:styleId="WW8Num3z1">
    <w:name w:val="WW8Num3z1"/>
    <w:qFormat/>
    <w:rPr>
      <w:rFonts w:ascii="Courier New" w:eastAsia="Courier New" w:hAnsi="Courier New" w:cs="Courier New"/>
    </w:rPr>
  </w:style>
  <w:style w:type="character" w:customStyle="1" w:styleId="WW8Num3z2">
    <w:name w:val="WW8Num3z2"/>
    <w:qFormat/>
    <w:rPr>
      <w:rFonts w:ascii="Wingdings" w:eastAsia="Wingdings" w:hAnsi="Wingdings" w:cs="Wingdings"/>
    </w:rPr>
  </w:style>
  <w:style w:type="character" w:customStyle="1" w:styleId="WW8Num6z0">
    <w:name w:val="WW8Num6z0"/>
    <w:qFormat/>
    <w:rPr>
      <w:rFonts w:ascii="Symbol" w:eastAsia="Symbol" w:hAnsi="Symbol" w:cs="Symbol"/>
    </w:rPr>
  </w:style>
  <w:style w:type="character" w:customStyle="1" w:styleId="WW8Num6z1">
    <w:name w:val="WW8Num6z1"/>
    <w:qFormat/>
    <w:rPr>
      <w:rFonts w:ascii="Courier New" w:eastAsia="Courier New" w:hAnsi="Courier New" w:cs="Courier New"/>
    </w:rPr>
  </w:style>
  <w:style w:type="character" w:customStyle="1" w:styleId="WW8Num6z2">
    <w:name w:val="WW8Num6z2"/>
    <w:qFormat/>
    <w:rPr>
      <w:rFonts w:ascii="Wingdings" w:eastAsia="Wingdings" w:hAnsi="Wingdings" w:cs="Wingdings"/>
    </w:rPr>
  </w:style>
  <w:style w:type="character" w:customStyle="1" w:styleId="WW8Num7z0">
    <w:name w:val="WW8Num7z0"/>
    <w:qFormat/>
    <w:rPr>
      <w:rFonts w:ascii="Symbol" w:eastAsia="Symbol" w:hAnsi="Symbol" w:cs="Symbol"/>
    </w:rPr>
  </w:style>
  <w:style w:type="character" w:customStyle="1" w:styleId="WW8Num7z1">
    <w:name w:val="WW8Num7z1"/>
    <w:qFormat/>
    <w:rPr>
      <w:rFonts w:ascii="Courier New" w:eastAsia="Courier New" w:hAnsi="Courier New" w:cs="Courier New"/>
    </w:rPr>
  </w:style>
  <w:style w:type="character" w:customStyle="1" w:styleId="WW8Num7z2">
    <w:name w:val="WW8Num7z2"/>
    <w:qFormat/>
    <w:rPr>
      <w:rFonts w:ascii="Wingdings" w:eastAsia="Wingdings" w:hAnsi="Wingdings" w:cs="Wingdings"/>
    </w:rPr>
  </w:style>
  <w:style w:type="character" w:customStyle="1" w:styleId="WW8Num8z0">
    <w:name w:val="WW8Num8z0"/>
    <w:qFormat/>
    <w:rPr>
      <w:rFonts w:ascii="Symbol" w:eastAsia="Symbol" w:hAnsi="Symbol" w:cs="Symbol"/>
    </w:rPr>
  </w:style>
  <w:style w:type="character" w:customStyle="1" w:styleId="WW8Num8z1">
    <w:name w:val="WW8Num8z1"/>
    <w:qFormat/>
    <w:rPr>
      <w:rFonts w:ascii="Courier New" w:eastAsia="Courier New" w:hAnsi="Courier New" w:cs="Courier New"/>
    </w:rPr>
  </w:style>
  <w:style w:type="character" w:customStyle="1" w:styleId="WW8Num8z2">
    <w:name w:val="WW8Num8z2"/>
    <w:qFormat/>
    <w:rPr>
      <w:rFonts w:ascii="Wingdings" w:eastAsia="Wingdings" w:hAnsi="Wingdings" w:cs="Wingdings"/>
    </w:rPr>
  </w:style>
  <w:style w:type="character" w:customStyle="1" w:styleId="WW8Num9z0">
    <w:name w:val="WW8Num9z0"/>
    <w:qFormat/>
    <w:rPr>
      <w:rFonts w:ascii="Symbol" w:eastAsia="Symbol" w:hAnsi="Symbol" w:cs="Symbol"/>
      <w:sz w:val="22"/>
      <w:szCs w:val="22"/>
    </w:rPr>
  </w:style>
  <w:style w:type="character" w:customStyle="1" w:styleId="WW8Num9z1">
    <w:name w:val="WW8Num9z1"/>
    <w:qFormat/>
    <w:rPr>
      <w:rFonts w:ascii="Courier New" w:eastAsia="Courier New" w:hAnsi="Courier New" w:cs="Courier New"/>
    </w:rPr>
  </w:style>
  <w:style w:type="character" w:customStyle="1" w:styleId="WW8Num9z2">
    <w:name w:val="WW8Num9z2"/>
    <w:qFormat/>
    <w:rPr>
      <w:rFonts w:ascii="Wingdings" w:eastAsia="Wingdings" w:hAnsi="Wingdings" w:cs="Wingdings"/>
    </w:rPr>
  </w:style>
  <w:style w:type="character" w:customStyle="1" w:styleId="WW8Num10z0">
    <w:name w:val="WW8Num10z0"/>
    <w:qFormat/>
    <w:rPr>
      <w:rFonts w:ascii="Symbol" w:eastAsia="Symbol" w:hAnsi="Symbol" w:cs="Symbol"/>
    </w:rPr>
  </w:style>
  <w:style w:type="character" w:customStyle="1" w:styleId="WW8Num10z1">
    <w:name w:val="WW8Num10z1"/>
    <w:qFormat/>
    <w:rPr>
      <w:rFonts w:ascii="Courier New" w:eastAsia="Courier New" w:hAnsi="Courier New" w:cs="Courier New"/>
    </w:rPr>
  </w:style>
  <w:style w:type="character" w:customStyle="1" w:styleId="WW8Num10z2">
    <w:name w:val="WW8Num10z2"/>
    <w:qFormat/>
    <w:rPr>
      <w:rFonts w:ascii="Wingdings" w:eastAsia="Wingdings" w:hAnsi="Wingdings" w:cs="Wingdings"/>
    </w:rPr>
  </w:style>
  <w:style w:type="character" w:customStyle="1" w:styleId="WW8Num11z0">
    <w:name w:val="WW8Num11z0"/>
    <w:qFormat/>
    <w:rPr>
      <w:sz w:val="22"/>
      <w:szCs w:val="22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Symbol" w:eastAsia="Symbol" w:hAnsi="Symbol" w:cs="Symbol"/>
    </w:rPr>
  </w:style>
  <w:style w:type="character" w:customStyle="1" w:styleId="WW8Num12z1">
    <w:name w:val="WW8Num12z1"/>
    <w:qFormat/>
    <w:rPr>
      <w:rFonts w:ascii="Courier New" w:eastAsia="Courier New" w:hAnsi="Courier New" w:cs="Courier New"/>
    </w:rPr>
  </w:style>
  <w:style w:type="character" w:customStyle="1" w:styleId="WW8Num12z2">
    <w:name w:val="WW8Num12z2"/>
    <w:qFormat/>
    <w:rPr>
      <w:rFonts w:ascii="Wingdings" w:eastAsia="Wingdings" w:hAnsi="Wingdings" w:cs="Wingdings"/>
    </w:rPr>
  </w:style>
  <w:style w:type="character" w:customStyle="1" w:styleId="WW8Num13z0">
    <w:name w:val="WW8Num13z0"/>
    <w:qFormat/>
    <w:rPr>
      <w:rFonts w:ascii="Symbol" w:eastAsia="Symbol" w:hAnsi="Symbol" w:cs="Symbol"/>
    </w:rPr>
  </w:style>
  <w:style w:type="character" w:customStyle="1" w:styleId="WW8Num13z1">
    <w:name w:val="WW8Num13z1"/>
    <w:qFormat/>
    <w:rPr>
      <w:rFonts w:ascii="Courier New" w:eastAsia="Courier New" w:hAnsi="Courier New" w:cs="Courier New"/>
    </w:rPr>
  </w:style>
  <w:style w:type="character" w:customStyle="1" w:styleId="WW8Num13z2">
    <w:name w:val="WW8Num13z2"/>
    <w:qFormat/>
    <w:rPr>
      <w:rFonts w:ascii="Wingdings" w:eastAsia="Wingdings" w:hAnsi="Wingdings" w:cs="Wingdings"/>
    </w:rPr>
  </w:style>
  <w:style w:type="character" w:customStyle="1" w:styleId="Domylnaczcionkaakapitu2">
    <w:name w:val="Domyślna czcionka akapitu2"/>
    <w:qFormat/>
  </w:style>
  <w:style w:type="character" w:customStyle="1" w:styleId="Znakiwypunktowania">
    <w:name w:val="Znaki wypunktowania"/>
    <w:qFormat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Znakinumeracji">
    <w:name w:val="Znaki numeracji"/>
    <w:qFormat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nazwaprodfirma">
    <w:name w:val="nazwa_prod_firma"/>
    <w:basedOn w:val="Domylnaczcionkaakapitu2"/>
    <w:qFormat/>
  </w:style>
  <w:style w:type="character" w:customStyle="1" w:styleId="Domylnaczcionkaakapitu1">
    <w:name w:val="Domyślna czcionka akapitu1"/>
    <w:qFormat/>
  </w:style>
  <w:style w:type="character" w:customStyle="1" w:styleId="StrongEmphasis">
    <w:name w:val="Strong Emphasis"/>
    <w:qFormat/>
    <w:rPr>
      <w:b/>
      <w:bCs/>
    </w:rPr>
  </w:style>
  <w:style w:type="character" w:customStyle="1" w:styleId="qnmdr">
    <w:name w:val="_qnmdr"/>
    <w:basedOn w:val="Domylnaczcionkaakapitu3"/>
    <w:qFormat/>
  </w:style>
  <w:style w:type="character" w:customStyle="1" w:styleId="pogrubienie">
    <w:name w:val="pogrubienie"/>
    <w:basedOn w:val="Domylnaczcionkaakapitu3"/>
    <w:qFormat/>
  </w:style>
  <w:style w:type="character" w:customStyle="1" w:styleId="js-cena">
    <w:name w:val="js-cena"/>
    <w:basedOn w:val="Domylnaczcionkaakapitu3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styleId="Hipercze">
    <w:name w:val="Hyperlink"/>
    <w:rPr>
      <w:color w:val="000080"/>
      <w:u w:val="single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Tahoma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Nagwek2">
    <w:name w:val="Nagłówek2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1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Standard"/>
    <w:qFormat/>
    <w:pPr>
      <w:widowControl/>
      <w:spacing w:before="280" w:after="119"/>
    </w:pPr>
    <w:rPr>
      <w:rFonts w:eastAsia="Times New Roman"/>
    </w:rPr>
  </w:style>
  <w:style w:type="paragraph" w:styleId="HTML-wstpniesformatowany">
    <w:name w:val="HTML Preformatted"/>
    <w:basedOn w:val="Standard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high_end_gpu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ugloadsolutions.com/80PlusPowerSupplies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deocardbenchmark.net/high_end_gpus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lugloadsolutions.com/80PlusPowerSupplies.asp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lugloadsolutions.com/80PlusPowerSupplies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2340</Words>
  <Characters>14041</Characters>
  <Application>Microsoft Office Word</Application>
  <DocSecurity>0</DocSecurity>
  <Lines>117</Lines>
  <Paragraphs>32</Paragraphs>
  <ScaleCrop>false</ScaleCrop>
  <Company/>
  <LinksUpToDate>false</LinksUpToDate>
  <CharactersWithSpaces>16349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11</dc:title>
  <dc:subject/>
  <dc:creator>POLICJA</dc:creator>
  <dc:description/>
  <cp:lastModifiedBy>Krzysztof Kliman</cp:lastModifiedBy>
  <cp:revision>8</cp:revision>
  <cp:lastPrinted>2017-10-13T09:18:00Z</cp:lastPrinted>
  <dcterms:created xsi:type="dcterms:W3CDTF">2025-03-03T10:46:00Z</dcterms:created>
  <dcterms:modified xsi:type="dcterms:W3CDTF">2025-04-28T11:17:00Z</dcterms:modified>
  <dc:language>pl-PL</dc:language>
</cp:coreProperties>
</file>